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73C2" w14:textId="77777777" w:rsidR="00B23985" w:rsidRDefault="00B23985">
      <w:pPr>
        <w:tabs>
          <w:tab w:val="center" w:pos="4819"/>
          <w:tab w:val="right" w:pos="9638"/>
        </w:tabs>
        <w:rPr>
          <w:sz w:val="22"/>
          <w:szCs w:val="22"/>
        </w:rPr>
      </w:pPr>
    </w:p>
    <w:p w14:paraId="153A9965" w14:textId="77777777" w:rsidR="00B23985" w:rsidRDefault="00181B4C">
      <w:pPr>
        <w:jc w:val="center"/>
        <w:rPr>
          <w:szCs w:val="24"/>
          <w:lang w:eastAsia="lt-LT"/>
        </w:rPr>
      </w:pPr>
      <w:r>
        <w:rPr>
          <w:noProof/>
          <w:sz w:val="22"/>
          <w:szCs w:val="22"/>
          <w:lang w:eastAsia="ko-KR"/>
        </w:rPr>
        <w:drawing>
          <wp:inline distT="0" distB="0" distL="0" distR="0" wp14:anchorId="2B4D7785" wp14:editId="55EEEFE6">
            <wp:extent cx="592455" cy="623570"/>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623570"/>
                    </a:xfrm>
                    <a:prstGeom prst="rect">
                      <a:avLst/>
                    </a:prstGeom>
                    <a:noFill/>
                    <a:ln>
                      <a:noFill/>
                    </a:ln>
                  </pic:spPr>
                </pic:pic>
              </a:graphicData>
            </a:graphic>
          </wp:inline>
        </w:drawing>
      </w:r>
    </w:p>
    <w:p w14:paraId="041B68D9" w14:textId="77777777" w:rsidR="00B23985" w:rsidRDefault="00B23985">
      <w:pPr>
        <w:rPr>
          <w:sz w:val="18"/>
          <w:szCs w:val="18"/>
        </w:rPr>
      </w:pPr>
    </w:p>
    <w:p w14:paraId="2A92064E" w14:textId="77777777" w:rsidR="00B23985" w:rsidRDefault="00181B4C">
      <w:pPr>
        <w:jc w:val="center"/>
        <w:rPr>
          <w:b/>
          <w:szCs w:val="24"/>
        </w:rPr>
      </w:pPr>
      <w:r>
        <w:rPr>
          <w:b/>
          <w:noProof/>
          <w:szCs w:val="24"/>
          <w:lang w:eastAsia="ko-KR"/>
        </w:rPr>
        <w:drawing>
          <wp:anchor distT="0" distB="0" distL="114300" distR="114300" simplePos="0" relativeHeight="251660288" behindDoc="0" locked="0" layoutInCell="1" allowOverlap="1" wp14:anchorId="4A7633F1" wp14:editId="33B37D91">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Pr>
          <w:b/>
          <w:szCs w:val="24"/>
        </w:rPr>
        <w:t>LIETUVOS RESPUBLIKOS VIDAUS REIKALŲ MINISTRAS</w:t>
      </w:r>
    </w:p>
    <w:p w14:paraId="3F089E06" w14:textId="77777777" w:rsidR="00B23985" w:rsidRDefault="00B23985">
      <w:pPr>
        <w:rPr>
          <w:sz w:val="18"/>
          <w:szCs w:val="18"/>
        </w:rPr>
      </w:pPr>
    </w:p>
    <w:p w14:paraId="48A33527" w14:textId="77777777" w:rsidR="00B23985" w:rsidRDefault="00B23985">
      <w:pPr>
        <w:jc w:val="center"/>
        <w:rPr>
          <w:b/>
          <w:szCs w:val="24"/>
        </w:rPr>
      </w:pPr>
    </w:p>
    <w:p w14:paraId="383B055D" w14:textId="77777777" w:rsidR="00B23985" w:rsidRDefault="00181B4C">
      <w:pPr>
        <w:jc w:val="center"/>
        <w:rPr>
          <w:b/>
          <w:szCs w:val="24"/>
        </w:rPr>
      </w:pPr>
      <w:r>
        <w:rPr>
          <w:b/>
          <w:szCs w:val="24"/>
        </w:rPr>
        <w:t>ĮSAKYMAS</w:t>
      </w:r>
    </w:p>
    <w:p w14:paraId="4B49A5B7" w14:textId="77777777" w:rsidR="00B23985" w:rsidRDefault="00181B4C">
      <w:pPr>
        <w:jc w:val="center"/>
        <w:rPr>
          <w:b/>
          <w:bCs/>
          <w:caps/>
          <w:color w:val="000000"/>
          <w:szCs w:val="24"/>
        </w:rPr>
      </w:pPr>
      <w:r>
        <w:rPr>
          <w:b/>
          <w:bCs/>
          <w:caps/>
          <w:color w:val="000000"/>
          <w:szCs w:val="24"/>
        </w:rPr>
        <w:t>dėl NACIONALINIŲ VIZŲ, LEIDIMŲ LAIKINAI GYVENTI LIETUVOS RESPUBLIKOJE, UŽSIENIEČIO REGISTRACIJOS PAŽYMĖJIMŲ IŠDAVIMO, užsieniečių teisės dirbti lietuvos respublikoje IR SVEIKATOS PRIEŽIŪROS PASLAUGŲ</w:t>
      </w:r>
    </w:p>
    <w:p w14:paraId="63672AA8" w14:textId="77777777" w:rsidR="00B23985" w:rsidRDefault="00B23985">
      <w:pPr>
        <w:widowControl w:val="0"/>
        <w:jc w:val="center"/>
        <w:rPr>
          <w:color w:val="000000"/>
          <w:szCs w:val="24"/>
        </w:rPr>
      </w:pPr>
    </w:p>
    <w:p w14:paraId="07DC4C52" w14:textId="77777777" w:rsidR="00B23985" w:rsidRDefault="00181B4C">
      <w:pPr>
        <w:widowControl w:val="0"/>
        <w:jc w:val="center"/>
        <w:rPr>
          <w:szCs w:val="24"/>
        </w:rPr>
      </w:pPr>
      <w:r>
        <w:rPr>
          <w:szCs w:val="24"/>
        </w:rPr>
        <w:t>2022 m. vasario 28 d. Nr. 1V-145</w:t>
      </w:r>
    </w:p>
    <w:p w14:paraId="29689EBC" w14:textId="77777777" w:rsidR="00B23985" w:rsidRDefault="00181B4C">
      <w:pPr>
        <w:widowControl w:val="0"/>
        <w:jc w:val="center"/>
        <w:rPr>
          <w:szCs w:val="24"/>
        </w:rPr>
      </w:pPr>
      <w:r>
        <w:rPr>
          <w:szCs w:val="24"/>
        </w:rPr>
        <w:t>Vilnius</w:t>
      </w:r>
    </w:p>
    <w:p w14:paraId="2D9E6DF0" w14:textId="77777777" w:rsidR="00B23985" w:rsidRDefault="00B23985">
      <w:pPr>
        <w:widowControl w:val="0"/>
        <w:jc w:val="center"/>
        <w:rPr>
          <w:color w:val="000000"/>
          <w:szCs w:val="24"/>
        </w:rPr>
      </w:pPr>
    </w:p>
    <w:p w14:paraId="31EC4949" w14:textId="77777777" w:rsidR="00B23985" w:rsidRDefault="00181B4C">
      <w:pPr>
        <w:suppressAutoHyphens/>
        <w:spacing w:line="276" w:lineRule="auto"/>
        <w:ind w:firstLine="720"/>
        <w:jc w:val="both"/>
        <w:rPr>
          <w:rFonts w:ascii="Liberation Serif" w:eastAsia="NSimSun" w:hAnsi="Liberation Serif" w:cs="Arial"/>
          <w:kern w:val="3"/>
          <w:szCs w:val="24"/>
          <w:lang w:eastAsia="zh-CN" w:bidi="hi-IN"/>
        </w:rPr>
      </w:pPr>
      <w:r>
        <w:rPr>
          <w:rFonts w:eastAsia="NSimSun" w:cs="Arial"/>
          <w:color w:val="000000"/>
          <w:kern w:val="3"/>
          <w:szCs w:val="24"/>
          <w:lang w:eastAsia="zh-CN" w:bidi="hi-IN"/>
        </w:rPr>
        <w:t>Vadovaudamasi Lietuvos Respublikos nepaprastosios padėties įstatymo 14 straipsnio 4 dalimi ir Lietuvos Respublikos Prezidento 2022 m. vasario 24 d. dekreto Nr. 1K-872 „Dėl nepaprastosios padėties paskelbimo“ 3 straipsnio 1 dalimi:</w:t>
      </w:r>
    </w:p>
    <w:p w14:paraId="50C438BB" w14:textId="77777777" w:rsidR="00B23985" w:rsidRDefault="00181B4C">
      <w:pPr>
        <w:suppressAutoHyphens/>
        <w:spacing w:line="276" w:lineRule="auto"/>
        <w:ind w:firstLine="720"/>
        <w:jc w:val="both"/>
        <w:rPr>
          <w:rFonts w:eastAsia="NSimSun"/>
          <w:kern w:val="3"/>
          <w:szCs w:val="24"/>
          <w:lang w:eastAsia="zh-CN" w:bidi="hi-IN"/>
        </w:rPr>
      </w:pPr>
      <w:r>
        <w:rPr>
          <w:color w:val="000000"/>
          <w:kern w:val="3"/>
          <w:szCs w:val="24"/>
          <w:lang w:eastAsia="zh-CN" w:bidi="hi-IN"/>
        </w:rPr>
        <w:t xml:space="preserve">1. </w:t>
      </w:r>
      <w:r>
        <w:rPr>
          <w:rFonts w:eastAsia="Calibri"/>
          <w:spacing w:val="100"/>
          <w:szCs w:val="24"/>
        </w:rPr>
        <w:t>Nustata</w:t>
      </w:r>
      <w:r>
        <w:rPr>
          <w:rFonts w:eastAsia="Calibri"/>
          <w:szCs w:val="24"/>
        </w:rPr>
        <w:t>u,</w:t>
      </w:r>
      <w:r>
        <w:rPr>
          <w:rFonts w:eastAsia="Calibri"/>
          <w:szCs w:val="24"/>
          <w:lang w:eastAsia="lt-LT"/>
        </w:rPr>
        <w:t xml:space="preserve"> kad </w:t>
      </w:r>
      <w:r>
        <w:rPr>
          <w:rFonts w:eastAsia="NSimSun" w:cs="Arial"/>
          <w:kern w:val="3"/>
          <w:szCs w:val="24"/>
          <w:lang w:eastAsia="zh-CN" w:bidi="hi-IN"/>
        </w:rPr>
        <w:t>Ukrainos piliečiams, jų šeimos nariams ir asmenims be pilietybės, gyvenantiems Ukrainoje, pasitraukusiems iš Ukrainos į Lietuvos Respubliką dėl Rusijos Federacijos karinių veiksmų Ukrainoje (toliau – užsieniečiai)</w:t>
      </w:r>
      <w:r>
        <w:rPr>
          <w:rFonts w:eastAsia="Calibri"/>
          <w:szCs w:val="24"/>
          <w:lang w:eastAsia="lt-LT"/>
        </w:rPr>
        <w:t>, kurie neturi galiojančio kelionės dokumento, kol sprendžiamas jų teisinės padėties klausimas Lietuvos Respublikoje, gali būti išduodamas užsieniečio registracijos pažymėjimas.</w:t>
      </w:r>
      <w:r>
        <w:rPr>
          <w:rFonts w:eastAsia="NSimSun"/>
          <w:kern w:val="3"/>
          <w:szCs w:val="24"/>
          <w:lang w:eastAsia="zh-CN" w:bidi="hi-IN"/>
        </w:rPr>
        <w:t xml:space="preserve"> </w:t>
      </w:r>
    </w:p>
    <w:p w14:paraId="12C13527" w14:textId="77777777" w:rsidR="00B23985" w:rsidRDefault="00181B4C">
      <w:pPr>
        <w:suppressAutoHyphens/>
        <w:spacing w:line="276" w:lineRule="auto"/>
        <w:ind w:firstLine="720"/>
        <w:jc w:val="both"/>
        <w:rPr>
          <w:rFonts w:eastAsia="NSimSun" w:cs="Arial"/>
          <w:kern w:val="3"/>
          <w:szCs w:val="24"/>
          <w:lang w:eastAsia="zh-CN" w:bidi="hi-IN"/>
        </w:rPr>
      </w:pPr>
      <w:r>
        <w:rPr>
          <w:rFonts w:eastAsia="NSimSun" w:cs="Arial"/>
          <w:kern w:val="3"/>
          <w:szCs w:val="24"/>
          <w:lang w:eastAsia="zh-CN" w:bidi="hi-IN"/>
        </w:rPr>
        <w:t xml:space="preserve">2. </w:t>
      </w:r>
      <w:r>
        <w:rPr>
          <w:rFonts w:eastAsia="Calibri"/>
          <w:spacing w:val="100"/>
          <w:szCs w:val="24"/>
        </w:rPr>
        <w:t>Nustata</w:t>
      </w:r>
      <w:r>
        <w:rPr>
          <w:rFonts w:eastAsia="Calibri"/>
          <w:szCs w:val="24"/>
        </w:rPr>
        <w:t>u,</w:t>
      </w:r>
      <w:r>
        <w:rPr>
          <w:rFonts w:eastAsia="NSimSun" w:cs="Arial"/>
          <w:kern w:val="3"/>
          <w:szCs w:val="24"/>
          <w:lang w:eastAsia="zh-CN" w:bidi="hi-IN"/>
        </w:rPr>
        <w:t xml:space="preserve"> kad užsieniečiams gali būti netaikomi reikalavimai dėl pareigos turėti galiojantį kelionės dokumentą, sveikatos draudimą ir kitus dokumentus, suteikiančius teisę jiems atvykti ir būti Lietuvos Respublikoje, nacionalinių vizų ar leidimų gyventi Lietuvos Respublikoje išdavimo sąlygos, jei šių reikalavimų užsienietis negali (negalėjo) užtikrinti dėl objektyvių priežasčių.</w:t>
      </w:r>
    </w:p>
    <w:p w14:paraId="1920DD21" w14:textId="77777777" w:rsidR="00B23985" w:rsidRDefault="00181B4C">
      <w:pPr>
        <w:suppressAutoHyphens/>
        <w:spacing w:line="276" w:lineRule="auto"/>
        <w:ind w:firstLine="720"/>
        <w:jc w:val="both"/>
        <w:rPr>
          <w:rFonts w:eastAsia="Calibri"/>
          <w:szCs w:val="24"/>
        </w:rPr>
      </w:pPr>
      <w:r>
        <w:rPr>
          <w:rFonts w:eastAsia="NSimSun"/>
          <w:kern w:val="3"/>
          <w:szCs w:val="24"/>
          <w:lang w:eastAsia="zh-CN" w:bidi="hi-IN"/>
        </w:rPr>
        <w:t xml:space="preserve">3. </w:t>
      </w:r>
      <w:r>
        <w:rPr>
          <w:rFonts w:eastAsia="Calibri"/>
          <w:spacing w:val="100"/>
          <w:szCs w:val="24"/>
        </w:rPr>
        <w:t>Nustata</w:t>
      </w:r>
      <w:r>
        <w:rPr>
          <w:rFonts w:eastAsia="Calibri"/>
          <w:szCs w:val="24"/>
        </w:rPr>
        <w:t>u, kad:</w:t>
      </w:r>
    </w:p>
    <w:p w14:paraId="1CD00B2A" w14:textId="77777777" w:rsidR="00B23985" w:rsidRDefault="00181B4C">
      <w:pPr>
        <w:suppressAutoHyphens/>
        <w:spacing w:line="276" w:lineRule="auto"/>
        <w:ind w:firstLine="720"/>
        <w:jc w:val="both"/>
        <w:rPr>
          <w:rFonts w:eastAsia="Calibri"/>
          <w:szCs w:val="24"/>
        </w:rPr>
      </w:pPr>
      <w:r>
        <w:rPr>
          <w:rFonts w:eastAsia="Calibri"/>
          <w:szCs w:val="24"/>
        </w:rPr>
        <w:t xml:space="preserve">3.1. užsieniečiai, besinaudojantys beviziu režimu arba turintys galiojančią Šengeno vizą, turi teisę dirbti ir yra atleidžiami </w:t>
      </w:r>
      <w:r>
        <w:rPr>
          <w:rFonts w:eastAsia="NSimSun" w:cs="Arial"/>
          <w:kern w:val="3"/>
          <w:szCs w:val="24"/>
          <w:lang w:eastAsia="zh-CN" w:bidi="hi-IN"/>
        </w:rPr>
        <w:t>nuo pareigos įsigyti leidimą dirbti;</w:t>
      </w:r>
    </w:p>
    <w:p w14:paraId="74490B5E" w14:textId="77777777" w:rsidR="00B23985" w:rsidRDefault="00181B4C">
      <w:pPr>
        <w:suppressAutoHyphens/>
        <w:spacing w:line="276" w:lineRule="auto"/>
        <w:ind w:firstLine="720"/>
        <w:jc w:val="both"/>
        <w:rPr>
          <w:rFonts w:eastAsia="NSimSun" w:cs="Arial"/>
          <w:kern w:val="3"/>
          <w:szCs w:val="24"/>
          <w:lang w:eastAsia="zh-CN" w:bidi="hi-IN"/>
        </w:rPr>
      </w:pPr>
      <w:r>
        <w:rPr>
          <w:rFonts w:eastAsia="Calibri"/>
          <w:szCs w:val="24"/>
        </w:rPr>
        <w:t xml:space="preserve">3.2. užsieniečiai, turintys nacionalinę vizą, išduotą </w:t>
      </w:r>
      <w:r>
        <w:rPr>
          <w:rFonts w:eastAsia="NSimSun" w:cs="Arial"/>
          <w:kern w:val="3"/>
          <w:szCs w:val="24"/>
          <w:lang w:eastAsia="zh-CN" w:bidi="hi-IN"/>
        </w:rPr>
        <w:t>Vizos išdavimo tvarkos aprašo, patvirtinto Lietuvos Respublikos vidaus reikalų ministro ir Lietuvos Respublikos užsienio reikalų ministro 2017 m. gruodžio 28 d. įsakymu Nr. 1V-899/V-330 „Dėl Vizos išdavimo tvarkos aprašo patvirtinimo“, (toliau – Vizos aprašas)</w:t>
      </w:r>
      <w:r>
        <w:rPr>
          <w:rFonts w:eastAsia="Calibri"/>
          <w:szCs w:val="24"/>
        </w:rPr>
        <w:t xml:space="preserve"> </w:t>
      </w:r>
      <w:r>
        <w:rPr>
          <w:rFonts w:eastAsia="NSimSun" w:cs="Arial"/>
          <w:kern w:val="3"/>
          <w:szCs w:val="24"/>
          <w:lang w:eastAsia="zh-CN" w:bidi="hi-IN"/>
        </w:rPr>
        <w:t>70.12.3 papunktyje nurodytu pagrindu, turi teisę dirbti</w:t>
      </w:r>
      <w:r>
        <w:rPr>
          <w:rFonts w:eastAsia="NSimSun" w:cs="Arial"/>
          <w:b/>
          <w:kern w:val="3"/>
          <w:szCs w:val="24"/>
          <w:lang w:eastAsia="zh-CN" w:bidi="hi-IN"/>
        </w:rPr>
        <w:t xml:space="preserve"> </w:t>
      </w:r>
      <w:r>
        <w:rPr>
          <w:rFonts w:eastAsia="NSimSun" w:cs="Arial"/>
          <w:kern w:val="3"/>
          <w:szCs w:val="24"/>
          <w:lang w:eastAsia="zh-CN" w:bidi="hi-IN"/>
        </w:rPr>
        <w:t>ir yra atleidžiami nuo pareigos įsigyti leidimą dirbti;</w:t>
      </w:r>
    </w:p>
    <w:p w14:paraId="31460F6F" w14:textId="77777777" w:rsidR="00B23985" w:rsidRDefault="00181B4C">
      <w:pPr>
        <w:suppressAutoHyphens/>
        <w:spacing w:line="276" w:lineRule="auto"/>
        <w:ind w:firstLine="720"/>
        <w:jc w:val="both"/>
        <w:rPr>
          <w:rFonts w:eastAsia="NSimSun" w:cs="Arial"/>
          <w:kern w:val="3"/>
          <w:szCs w:val="24"/>
          <w:lang w:eastAsia="zh-CN" w:bidi="hi-IN"/>
        </w:rPr>
      </w:pPr>
      <w:r>
        <w:rPr>
          <w:rFonts w:eastAsia="NSimSun" w:cs="Arial"/>
          <w:kern w:val="3"/>
          <w:szCs w:val="24"/>
          <w:lang w:eastAsia="zh-CN" w:bidi="hi-IN"/>
        </w:rPr>
        <w:t>3.3. užsieniečiai, kurie pateikė prašymą išduoti leidimą laikinai gyventi Lietuvos Respublikoje (toliau – leidimas laikinai gyventi) Lietuvos Respublikos įstatymo „Dėl užsieniečių teisinės padėties“ (toliau – Įstatymas) 44 ir 44</w:t>
      </w:r>
      <w:r>
        <w:rPr>
          <w:rFonts w:eastAsia="NSimSun" w:cs="Arial"/>
          <w:kern w:val="3"/>
          <w:szCs w:val="24"/>
          <w:vertAlign w:val="superscript"/>
          <w:lang w:eastAsia="zh-CN" w:bidi="hi-IN"/>
        </w:rPr>
        <w:t xml:space="preserve">1 </w:t>
      </w:r>
      <w:r>
        <w:rPr>
          <w:rFonts w:eastAsia="NSimSun" w:cs="Arial"/>
          <w:kern w:val="3"/>
          <w:szCs w:val="24"/>
          <w:lang w:eastAsia="zh-CN" w:bidi="hi-IN"/>
        </w:rPr>
        <w:t xml:space="preserve">straipsnių pagrindu, turi teisę dirbti ir yra atleidžiami nuo pareigos gauti Užimtumo tarnybos prie Lietuvos Respublikos socialinės apsaugos ir darbo ministerijos sprendimą dėl užsieniečio darbo atitikties Lietuvos Respublikos darbo rinkos poreikiams; </w:t>
      </w:r>
    </w:p>
    <w:p w14:paraId="67CAD995" w14:textId="77777777" w:rsidR="00B23985" w:rsidRDefault="00181B4C">
      <w:pPr>
        <w:suppressAutoHyphens/>
        <w:spacing w:line="276" w:lineRule="auto"/>
        <w:ind w:firstLine="720"/>
        <w:jc w:val="both"/>
        <w:rPr>
          <w:rFonts w:eastAsia="Calibri"/>
          <w:szCs w:val="24"/>
        </w:rPr>
      </w:pPr>
      <w:r>
        <w:rPr>
          <w:rFonts w:eastAsia="Calibri"/>
          <w:szCs w:val="24"/>
        </w:rPr>
        <w:t>3.4. užsieniečiai, kurie pateikė prašymą suteikti prieglobstį Lietuvos Respublikoje, turi teisę dirbti nuo prašymo suteikti prieglobstį užregistravimo Lietuvos migracijos informacinėje sistemoje dienos.</w:t>
      </w:r>
    </w:p>
    <w:p w14:paraId="6C0A152C" w14:textId="77777777" w:rsidR="00B23985" w:rsidRDefault="00181B4C">
      <w:pPr>
        <w:suppressAutoHyphens/>
        <w:spacing w:line="276" w:lineRule="auto"/>
        <w:ind w:firstLine="720"/>
        <w:jc w:val="both"/>
        <w:rPr>
          <w:rFonts w:eastAsia="NSimSun" w:cs="Arial"/>
          <w:kern w:val="3"/>
          <w:szCs w:val="24"/>
          <w:lang w:eastAsia="zh-CN" w:bidi="hi-IN"/>
        </w:rPr>
      </w:pPr>
      <w:r>
        <w:rPr>
          <w:rFonts w:eastAsia="NSimSun" w:cs="Arial"/>
          <w:kern w:val="3"/>
          <w:szCs w:val="24"/>
          <w:lang w:eastAsia="zh-CN" w:bidi="hi-IN"/>
        </w:rPr>
        <w:t xml:space="preserve">4. </w:t>
      </w:r>
      <w:r>
        <w:rPr>
          <w:rFonts w:eastAsia="Calibri"/>
          <w:spacing w:val="100"/>
          <w:szCs w:val="24"/>
        </w:rPr>
        <w:t>Nustata</w:t>
      </w:r>
      <w:r>
        <w:rPr>
          <w:rFonts w:eastAsia="Calibri"/>
          <w:szCs w:val="24"/>
        </w:rPr>
        <w:t>u</w:t>
      </w:r>
      <w:r>
        <w:rPr>
          <w:rFonts w:eastAsia="NSimSun" w:cs="Arial"/>
          <w:kern w:val="3"/>
          <w:szCs w:val="24"/>
          <w:lang w:eastAsia="zh-CN" w:bidi="hi-IN"/>
        </w:rPr>
        <w:t>, kad užsieniečiai atleidžiami nuo valstybės rinkliavos:</w:t>
      </w:r>
    </w:p>
    <w:p w14:paraId="59DB3657" w14:textId="77777777" w:rsidR="00B23985" w:rsidRDefault="00181B4C">
      <w:pPr>
        <w:suppressAutoHyphens/>
        <w:spacing w:line="276" w:lineRule="auto"/>
        <w:ind w:firstLine="720"/>
        <w:jc w:val="both"/>
        <w:rPr>
          <w:rFonts w:eastAsia="NSimSun" w:cs="Arial"/>
          <w:kern w:val="3"/>
          <w:szCs w:val="24"/>
          <w:lang w:eastAsia="zh-CN" w:bidi="hi-IN"/>
        </w:rPr>
      </w:pPr>
      <w:r>
        <w:rPr>
          <w:rFonts w:eastAsia="NSimSun" w:cs="Arial"/>
          <w:kern w:val="3"/>
          <w:szCs w:val="24"/>
          <w:lang w:eastAsia="zh-CN" w:bidi="hi-IN"/>
        </w:rPr>
        <w:lastRenderedPageBreak/>
        <w:t>4.1. už prašymo išduoti nacionalinę vizą svarstymą, sprendimų dėl nacionalinės vizos išdavimo ar atsisakymo ją išduoti priėmimą, kai dėl vizos išdavimo kreipiamasi Vizos aprašo 70.12.3 papunktyje nurodytu pagrindu;</w:t>
      </w:r>
    </w:p>
    <w:p w14:paraId="49C07D19" w14:textId="77777777" w:rsidR="00B23985" w:rsidRDefault="00181B4C">
      <w:pPr>
        <w:suppressAutoHyphens/>
        <w:spacing w:line="276" w:lineRule="auto"/>
        <w:ind w:firstLine="720"/>
        <w:jc w:val="both"/>
        <w:rPr>
          <w:rFonts w:eastAsia="NSimSun" w:cs="Arial"/>
          <w:kern w:val="3"/>
          <w:szCs w:val="24"/>
          <w:lang w:eastAsia="zh-CN" w:bidi="hi-IN"/>
        </w:rPr>
      </w:pPr>
      <w:r>
        <w:rPr>
          <w:rFonts w:eastAsia="NSimSun" w:cs="Arial"/>
          <w:kern w:val="3"/>
          <w:szCs w:val="24"/>
          <w:lang w:eastAsia="zh-CN" w:bidi="hi-IN"/>
        </w:rPr>
        <w:t xml:space="preserve">4.2. už prašymo išduoti užsieniečiui leidimą laikinai gyventi priėmimą, nagrinėjimą, sprendimo priėmimą ir leidimo laikinai gyventi išdavimą (neišdavimą), kai dėl leidimo laikinai gyventi kreipiamasi Įstatymo 40 straipsnio 1 dalies 8 punkte nustatytu pagrindu, – kai užsienietis negali išvykti iš Lietuvos Respublikos dėl humanitarinių priežasčių (nenugalimos jėgos). </w:t>
      </w:r>
    </w:p>
    <w:p w14:paraId="788C0B95" w14:textId="77777777" w:rsidR="00B23985" w:rsidRDefault="00181B4C" w:rsidP="00181B4C">
      <w:pPr>
        <w:suppressAutoHyphens/>
        <w:spacing w:line="276" w:lineRule="auto"/>
        <w:ind w:firstLine="720"/>
        <w:jc w:val="both"/>
        <w:rPr>
          <w:szCs w:val="24"/>
        </w:rPr>
      </w:pPr>
      <w:r>
        <w:rPr>
          <w:rFonts w:eastAsia="NSimSun" w:cs="Arial"/>
          <w:kern w:val="3"/>
          <w:szCs w:val="24"/>
          <w:lang w:eastAsia="zh-CN" w:bidi="hi-IN"/>
        </w:rPr>
        <w:t xml:space="preserve">5. </w:t>
      </w:r>
      <w:r>
        <w:rPr>
          <w:rFonts w:eastAsia="Calibri"/>
          <w:spacing w:val="100"/>
          <w:szCs w:val="24"/>
        </w:rPr>
        <w:t>Nustata</w:t>
      </w:r>
      <w:r>
        <w:rPr>
          <w:rFonts w:eastAsia="Calibri"/>
          <w:szCs w:val="24"/>
        </w:rPr>
        <w:t>u</w:t>
      </w:r>
      <w:r>
        <w:rPr>
          <w:rFonts w:eastAsia="NSimSun" w:cs="Arial"/>
          <w:kern w:val="3"/>
          <w:szCs w:val="24"/>
          <w:lang w:eastAsia="zh-CN" w:bidi="hi-IN"/>
        </w:rPr>
        <w:t>, kad užsieniečiai turi teisę gauti būtinąją medicinos pagalbą ir kitas būtinąsias asmens sveikatos priežiūros paslaugas, kurių nesuteikus užsieniečio sveikatos būklė galėtų pablogėti tiek, kad jam prireiktų skubiosios medicinos pagalbos paslaugų. Šių paslaugų apmokėjimą Privalomojo sveikatos draudimo fondo biudžeto lėšomis (įstatymų nustatyta tvarka kompensuojant jas valstybės biudžeto lėšomis) organizuoja Valstybinė ligonių kasa prie Sveikatos apsaugos ministerijos.</w:t>
      </w:r>
    </w:p>
    <w:p w14:paraId="2FA55BB9" w14:textId="77777777" w:rsidR="00181B4C" w:rsidRDefault="00181B4C">
      <w:pPr>
        <w:jc w:val="both"/>
      </w:pPr>
    </w:p>
    <w:p w14:paraId="75BCA723" w14:textId="77777777" w:rsidR="00181B4C" w:rsidRDefault="00181B4C">
      <w:pPr>
        <w:jc w:val="both"/>
      </w:pPr>
    </w:p>
    <w:p w14:paraId="6164EF3C" w14:textId="77777777" w:rsidR="00181B4C" w:rsidRDefault="00181B4C">
      <w:pPr>
        <w:jc w:val="both"/>
      </w:pPr>
    </w:p>
    <w:p w14:paraId="783AC502" w14:textId="77777777" w:rsidR="00B23985" w:rsidRDefault="00181B4C">
      <w:pPr>
        <w:jc w:val="both"/>
        <w:rPr>
          <w:szCs w:val="24"/>
        </w:rPr>
      </w:pPr>
      <w:r>
        <w:rPr>
          <w:szCs w:val="24"/>
        </w:rPr>
        <w:t>Teisingumo ministrė,</w:t>
      </w:r>
    </w:p>
    <w:p w14:paraId="01A4D35E" w14:textId="77777777" w:rsidR="00B23985" w:rsidRDefault="00181B4C">
      <w:pPr>
        <w:jc w:val="both"/>
        <w:rPr>
          <w:szCs w:val="24"/>
        </w:rPr>
      </w:pPr>
      <w:r>
        <w:rPr>
          <w:szCs w:val="24"/>
        </w:rPr>
        <w:t xml:space="preserve">pavaduojanti vidaus reikalų ministrą </w:t>
      </w:r>
      <w:r>
        <w:rPr>
          <w:szCs w:val="24"/>
        </w:rPr>
        <w:tab/>
      </w:r>
      <w:r>
        <w:rPr>
          <w:szCs w:val="24"/>
        </w:rPr>
        <w:tab/>
        <w:t xml:space="preserve">                                        Evelina </w:t>
      </w:r>
      <w:proofErr w:type="spellStart"/>
      <w:r>
        <w:rPr>
          <w:szCs w:val="24"/>
        </w:rPr>
        <w:t>Dobrovolska</w:t>
      </w:r>
      <w:proofErr w:type="spellEnd"/>
    </w:p>
    <w:sectPr w:rsidR="00B23985">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D41D" w14:textId="77777777" w:rsidR="00126BF7" w:rsidRDefault="00126BF7">
      <w:pPr>
        <w:rPr>
          <w:sz w:val="22"/>
          <w:szCs w:val="22"/>
        </w:rPr>
      </w:pPr>
      <w:r>
        <w:rPr>
          <w:sz w:val="22"/>
          <w:szCs w:val="22"/>
        </w:rPr>
        <w:separator/>
      </w:r>
    </w:p>
  </w:endnote>
  <w:endnote w:type="continuationSeparator" w:id="0">
    <w:p w14:paraId="3B79E108" w14:textId="77777777" w:rsidR="00126BF7" w:rsidRDefault="00126BF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Calibri">
    <w:altName w:val="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962C" w14:textId="77777777" w:rsidR="00B23985" w:rsidRDefault="00B23985">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8193" w14:textId="77777777" w:rsidR="00B23985" w:rsidRDefault="00B23985">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9E39" w14:textId="77777777" w:rsidR="00B23985" w:rsidRDefault="00B23985">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0C5E" w14:textId="77777777" w:rsidR="00126BF7" w:rsidRDefault="00126BF7">
      <w:pPr>
        <w:rPr>
          <w:sz w:val="22"/>
          <w:szCs w:val="22"/>
        </w:rPr>
      </w:pPr>
      <w:r>
        <w:rPr>
          <w:sz w:val="22"/>
          <w:szCs w:val="22"/>
        </w:rPr>
        <w:separator/>
      </w:r>
    </w:p>
  </w:footnote>
  <w:footnote w:type="continuationSeparator" w:id="0">
    <w:p w14:paraId="475FAAB1" w14:textId="77777777" w:rsidR="00126BF7" w:rsidRDefault="00126BF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E542" w14:textId="77777777" w:rsidR="00B23985" w:rsidRDefault="00B23985">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FC01" w14:textId="77777777" w:rsidR="00B23985" w:rsidRDefault="00181B4C">
    <w:pPr>
      <w:tabs>
        <w:tab w:val="center" w:pos="4819"/>
        <w:tab w:val="right" w:pos="9638"/>
      </w:tabs>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p w14:paraId="0CCA550F" w14:textId="77777777" w:rsidR="00B23985" w:rsidRDefault="00B23985">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87A5" w14:textId="77777777" w:rsidR="00B23985" w:rsidRDefault="00B23985">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B9"/>
    <w:rsid w:val="00126BF7"/>
    <w:rsid w:val="00181B4C"/>
    <w:rsid w:val="00B23985"/>
    <w:rsid w:val="00EE6710"/>
    <w:rsid w:val="00FE78B9"/>
  </w:rsids>
  <m:mathPr>
    <m:mathFont m:val="Cambria Math"/>
    <m:brkBin m:val="before"/>
    <m:brkBinSub m:val="--"/>
    <m:smallFrac m:val="0"/>
    <m:dispDef/>
    <m:lMargin m:val="0"/>
    <m:rMargin m:val="0"/>
    <m:defJc m:val="centerGroup"/>
    <m:wrapIndent m:val="1440"/>
    <m:intLim m:val="subSup"/>
    <m:naryLim m:val="undOvr"/>
  </m:mathPr>
  <w:themeFontLang w:val="lt-L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6B10"/>
  <w15:docId w15:val="{F85411AB-952F-4353-B3CE-E8429739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46">
      <w:bodyDiv w:val="1"/>
      <w:marLeft w:val="0"/>
      <w:marRight w:val="0"/>
      <w:marTop w:val="0"/>
      <w:marBottom w:val="0"/>
      <w:divBdr>
        <w:top w:val="none" w:sz="0" w:space="0" w:color="auto"/>
        <w:left w:val="none" w:sz="0" w:space="0" w:color="auto"/>
        <w:bottom w:val="none" w:sz="0" w:space="0" w:color="auto"/>
        <w:right w:val="none" w:sz="0" w:space="0" w:color="auto"/>
      </w:divBdr>
    </w:div>
    <w:div w:id="294457528">
      <w:bodyDiv w:val="1"/>
      <w:marLeft w:val="0"/>
      <w:marRight w:val="0"/>
      <w:marTop w:val="0"/>
      <w:marBottom w:val="0"/>
      <w:divBdr>
        <w:top w:val="none" w:sz="0" w:space="0" w:color="auto"/>
        <w:left w:val="none" w:sz="0" w:space="0" w:color="auto"/>
        <w:bottom w:val="none" w:sz="0" w:space="0" w:color="auto"/>
        <w:right w:val="none" w:sz="0" w:space="0" w:color="auto"/>
      </w:divBdr>
      <w:divsChild>
        <w:div w:id="238637974">
          <w:marLeft w:val="0"/>
          <w:marRight w:val="0"/>
          <w:marTop w:val="0"/>
          <w:marBottom w:val="0"/>
          <w:divBdr>
            <w:top w:val="none" w:sz="0" w:space="0" w:color="auto"/>
            <w:left w:val="none" w:sz="0" w:space="0" w:color="auto"/>
            <w:bottom w:val="none" w:sz="0" w:space="0" w:color="auto"/>
            <w:right w:val="none" w:sz="0" w:space="0" w:color="auto"/>
          </w:divBdr>
        </w:div>
        <w:div w:id="903367799">
          <w:marLeft w:val="0"/>
          <w:marRight w:val="0"/>
          <w:marTop w:val="0"/>
          <w:marBottom w:val="0"/>
          <w:divBdr>
            <w:top w:val="none" w:sz="0" w:space="0" w:color="auto"/>
            <w:left w:val="none" w:sz="0" w:space="0" w:color="auto"/>
            <w:bottom w:val="none" w:sz="0" w:space="0" w:color="auto"/>
            <w:right w:val="none" w:sz="0" w:space="0" w:color="auto"/>
          </w:divBdr>
        </w:div>
      </w:divsChild>
    </w:div>
    <w:div w:id="307904246">
      <w:bodyDiv w:val="1"/>
      <w:marLeft w:val="0"/>
      <w:marRight w:val="0"/>
      <w:marTop w:val="0"/>
      <w:marBottom w:val="0"/>
      <w:divBdr>
        <w:top w:val="none" w:sz="0" w:space="0" w:color="auto"/>
        <w:left w:val="none" w:sz="0" w:space="0" w:color="auto"/>
        <w:bottom w:val="none" w:sz="0" w:space="0" w:color="auto"/>
        <w:right w:val="none" w:sz="0" w:space="0" w:color="auto"/>
      </w:divBdr>
    </w:div>
    <w:div w:id="64396859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1079714282">
      <w:bodyDiv w:val="1"/>
      <w:marLeft w:val="0"/>
      <w:marRight w:val="0"/>
      <w:marTop w:val="0"/>
      <w:marBottom w:val="0"/>
      <w:divBdr>
        <w:top w:val="none" w:sz="0" w:space="0" w:color="auto"/>
        <w:left w:val="none" w:sz="0" w:space="0" w:color="auto"/>
        <w:bottom w:val="none" w:sz="0" w:space="0" w:color="auto"/>
        <w:right w:val="none" w:sz="0" w:space="0" w:color="auto"/>
      </w:divBdr>
    </w:div>
    <w:div w:id="1081365924">
      <w:bodyDiv w:val="1"/>
      <w:marLeft w:val="0"/>
      <w:marRight w:val="0"/>
      <w:marTop w:val="0"/>
      <w:marBottom w:val="0"/>
      <w:divBdr>
        <w:top w:val="none" w:sz="0" w:space="0" w:color="auto"/>
        <w:left w:val="none" w:sz="0" w:space="0" w:color="auto"/>
        <w:bottom w:val="none" w:sz="0" w:space="0" w:color="auto"/>
        <w:right w:val="none" w:sz="0" w:space="0" w:color="auto"/>
      </w:divBdr>
    </w:div>
    <w:div w:id="1674913258">
      <w:bodyDiv w:val="1"/>
      <w:marLeft w:val="0"/>
      <w:marRight w:val="0"/>
      <w:marTop w:val="0"/>
      <w:marBottom w:val="0"/>
      <w:divBdr>
        <w:top w:val="none" w:sz="0" w:space="0" w:color="auto"/>
        <w:left w:val="none" w:sz="0" w:space="0" w:color="auto"/>
        <w:bottom w:val="none" w:sz="0" w:space="0" w:color="auto"/>
        <w:right w:val="none" w:sz="0" w:space="0" w:color="auto"/>
      </w:divBdr>
    </w:div>
    <w:div w:id="1700471956">
      <w:bodyDiv w:val="1"/>
      <w:marLeft w:val="0"/>
      <w:marRight w:val="0"/>
      <w:marTop w:val="0"/>
      <w:marBottom w:val="0"/>
      <w:divBdr>
        <w:top w:val="none" w:sz="0" w:space="0" w:color="auto"/>
        <w:left w:val="none" w:sz="0" w:space="0" w:color="auto"/>
        <w:bottom w:val="none" w:sz="0" w:space="0" w:color="auto"/>
        <w:right w:val="none" w:sz="0" w:space="0" w:color="auto"/>
      </w:divBdr>
    </w:div>
    <w:div w:id="2028940382">
      <w:bodyDiv w:val="1"/>
      <w:marLeft w:val="0"/>
      <w:marRight w:val="0"/>
      <w:marTop w:val="0"/>
      <w:marBottom w:val="0"/>
      <w:divBdr>
        <w:top w:val="none" w:sz="0" w:space="0" w:color="auto"/>
        <w:left w:val="none" w:sz="0" w:space="0" w:color="auto"/>
        <w:bottom w:val="none" w:sz="0" w:space="0" w:color="auto"/>
        <w:right w:val="none" w:sz="0" w:space="0" w:color="auto"/>
      </w:divBdr>
    </w:div>
    <w:div w:id="21427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4CBA-9CA2-49BF-AFBC-E33F3D17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2473</Words>
  <Characters>1410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dc:creator>
  <cp:lastModifiedBy>Aistė Čepaitienė</cp:lastModifiedBy>
  <cp:revision>2</cp:revision>
  <cp:lastPrinted>2017-05-30T07:53:00Z</cp:lastPrinted>
  <dcterms:created xsi:type="dcterms:W3CDTF">2022-03-01T11:43:00Z</dcterms:created>
  <dcterms:modified xsi:type="dcterms:W3CDTF">2022-03-01T11:43:00Z</dcterms:modified>
</cp:coreProperties>
</file>